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6"/>
        <w:jc w:val="center"/>
        <w:spacing w:before="24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ПРОТОКОЛ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726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eastAsia="Liberation Serif" w:cs="Liberation Serif"/>
        </w:rPr>
        <w:t xml:space="preserve">заседания </w:t>
      </w: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 комиссии </w:t>
      </w:r>
      <w:r>
        <w:rPr>
          <w:rFonts w:ascii="Liberation Serif" w:hAnsi="Liberation Serif" w:eastAsia="Liberation Serif" w:cs="Liberation Serif"/>
          <w:bCs/>
        </w:rPr>
        <w:t xml:space="preserve">по рассмотрению вторых частей заявок </w:t>
      </w:r>
      <w:r>
        <w:rPr>
          <w:rFonts w:ascii="Liberation Serif" w:hAnsi="Liberation Serif" w:eastAsia="Liberation Serif" w:cs="Liberation Serif"/>
          <w:bCs/>
        </w:rPr>
        <w:t xml:space="preserve">на участие в </w:t>
      </w:r>
      <w:r>
        <w:rPr>
          <w:rFonts w:ascii="Liberation Serif" w:hAnsi="Liberation Serif" w:eastAsia="Liberation Serif" w:cs="Liberation Serif"/>
          <w:bCs/>
        </w:rPr>
        <w:t xml:space="preserve">закупке</w:t>
      </w:r>
      <w:r>
        <w:rPr>
          <w:rFonts w:ascii="Liberation Serif" w:hAnsi="Liberation Serif" w:eastAsia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726"/>
        <w:jc w:val="center"/>
        <w:spacing w:before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г. </w:t>
      </w:r>
      <w:r>
        <w:rPr>
          <w:rFonts w:ascii="Liberation Serif" w:hAnsi="Liberation Serif" w:eastAsia="Liberation Serif" w:cs="Liberation Serif"/>
          <w:b/>
        </w:rPr>
        <w:t xml:space="preserve">Томск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№ 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19050</w:t>
            </w:r>
            <w:r>
              <w:rPr>
                <w:rFonts w:ascii="Liberation Serif" w:hAnsi="Liberation Serif" w:eastAsia="Liberation Serif" w:cs="Liberation Serif"/>
              </w:rPr>
              <w:t xml:space="preserve">/ПВЧ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Открытый конкурс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Инструмент для выполнения электромонтажных работ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«25</w:t>
            </w:r>
            <w:r>
              <w:rPr>
                <w:rFonts w:ascii="Liberation Serif" w:hAnsi="Liberation Serif" w:eastAsia="Liberation Serif" w:cs="Liberation Serif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</w:rPr>
              <w:t xml:space="preserve"> июня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</w:rPr>
              <w:t xml:space="preserve">г. 16</w:t>
            </w:r>
            <w:r>
              <w:rPr>
                <w:rFonts w:ascii="Liberation Serif" w:hAnsi="Liberation Serif" w:eastAsia="Liberation Serif" w:cs="Liberation Serif"/>
              </w:rPr>
              <w:t xml:space="preserve">:0</w:t>
            </w:r>
            <w:r>
              <w:rPr>
                <w:rFonts w:ascii="Liberation Serif" w:hAnsi="Liberation Serif" w:eastAsia="Liberation Serif" w:cs="Liberation Serif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по 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томскому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 времени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)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«25</w:t>
            </w:r>
            <w:r>
              <w:rPr>
                <w:rFonts w:ascii="Liberation Serif" w:hAnsi="Liberation Serif" w:eastAsia="Liberation Serif" w:cs="Liberation Serif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</w:rPr>
              <w:t xml:space="preserve"> июня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</w:rPr>
              <w:t xml:space="preserve">г.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558 472,77</w:t>
            </w:r>
            <w:r>
              <w:rPr>
                <w:rFonts w:ascii="Liberation Serif" w:hAnsi="Liberation Serif" w:eastAsia="Liberation Serif" w:cs="Liberation Serif"/>
              </w:rPr>
              <w:t xml:space="preserve"> рублей без НДС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 соответствии с Закупочной документацией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</w:tbl>
    <w:p>
      <w:pPr>
        <w:pStyle w:val="726"/>
        <w:ind w:firstLine="709"/>
        <w:spacing w:before="24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ПОВЕСТКА:</w:t>
      </w:r>
      <w:r>
        <w:rPr>
          <w:rFonts w:ascii="Liberation Serif" w:hAnsi="Liberation Serif" w:cs="Liberation Serif"/>
          <w:b/>
        </w:rPr>
      </w:r>
    </w:p>
    <w:p>
      <w:pPr>
        <w:pStyle w:val="726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Об одобрении</w:t>
      </w:r>
      <w:r>
        <w:rPr>
          <w:rFonts w:ascii="Liberation Serif" w:hAnsi="Liberation Serif" w:eastAsia="Liberation Serif" w:cs="Liberation Serif"/>
          <w:i/>
          <w:color w:val="000000"/>
        </w:rPr>
        <w:t xml:space="preserve"> </w:t>
      </w:r>
      <w:r>
        <w:rPr>
          <w:rFonts w:ascii="Liberation Serif" w:hAnsi="Liberation Serif" w:eastAsia="Liberation Serif" w:cs="Liberation Serif"/>
          <w:color w:val="000000"/>
        </w:rPr>
        <w:t xml:space="preserve">Сводного отчета Экспертной группы по оценке </w:t>
      </w:r>
      <w:r>
        <w:rPr>
          <w:rFonts w:ascii="Liberation Serif" w:hAnsi="Liberation Serif" w:eastAsia="Liberation Serif" w:cs="Liberation Serif"/>
          <w:color w:val="000000"/>
        </w:rPr>
        <w:t xml:space="preserve">вторых</w:t>
      </w:r>
      <w:r>
        <w:rPr>
          <w:rFonts w:ascii="Liberation Serif" w:hAnsi="Liberation Serif" w:eastAsia="Liberation Serif" w:cs="Liberation Serif"/>
          <w:color w:val="000000"/>
        </w:rPr>
        <w:t xml:space="preserve"> частей заявок.</w:t>
      </w:r>
      <w:r>
        <w:rPr>
          <w:rFonts w:ascii="Liberation Serif" w:hAnsi="Liberation Serif" w:cs="Liberation Serif"/>
          <w:color w:val="000000"/>
        </w:rPr>
      </w:r>
    </w:p>
    <w:p>
      <w:pPr>
        <w:pStyle w:val="726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 признании заявок удовлетворяющими требованиям </w:t>
      </w:r>
      <w:r>
        <w:rPr>
          <w:rFonts w:ascii="Liberation Serif" w:hAnsi="Liberation Serif" w:eastAsia="Liberation Serif" w:cs="Liberation Serif"/>
          <w:color w:val="000000"/>
        </w:rPr>
        <w:t xml:space="preserve">закупки.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726"/>
        <w:spacing w:before="60"/>
        <w:widowControl w:val="off"/>
        <w:rPr>
          <w:rFonts w:ascii="Liberation Serif" w:hAnsi="Liberation Serif" w:cs="Liberation Serif"/>
          <w:bCs/>
          <w:i/>
        </w:rPr>
      </w:pPr>
      <w:r>
        <w:rPr>
          <w:rFonts w:ascii="Liberation Serif" w:hAnsi="Liberation Serif" w:eastAsia="Liberation Serif" w:cs="Liberation Serif"/>
          <w:bCs/>
          <w:i/>
        </w:rPr>
        <w:t xml:space="preserve">Кворум для принятия решений имеется.</w:t>
      </w:r>
      <w:r>
        <w:rPr>
          <w:rFonts w:ascii="Liberation Serif" w:hAnsi="Liberation Serif" w:cs="Liberation Serif"/>
          <w:bCs/>
          <w:i/>
        </w:rPr>
      </w:r>
    </w:p>
    <w:p>
      <w:pPr>
        <w:pStyle w:val="726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ВОПРОСЫ ЗАСЕДАНИЯ </w:t>
      </w:r>
      <w:r>
        <w:rPr>
          <w:rFonts w:ascii="Liberation Serif" w:hAnsi="Liberation Serif" w:eastAsia="Liberation Serif" w:cs="Liberation Serif"/>
          <w:b/>
        </w:rPr>
        <w:t xml:space="preserve">ЗАКУПОЧ</w:t>
      </w:r>
      <w:r>
        <w:rPr>
          <w:rFonts w:ascii="Liberation Serif" w:hAnsi="Liberation Serif" w:eastAsia="Liberation Serif" w:cs="Liberation Serif"/>
          <w:b/>
        </w:rPr>
        <w:t xml:space="preserve">НОЙ КОМИССИИ:</w:t>
      </w:r>
      <w:r>
        <w:rPr>
          <w:rFonts w:ascii="Liberation Serif" w:hAnsi="Liberation Serif" w:cs="Liberation Serif"/>
          <w:b/>
        </w:rPr>
      </w:r>
    </w:p>
    <w:p>
      <w:pPr>
        <w:pStyle w:val="726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 </w:t>
      </w:r>
      <w:r>
        <w:rPr>
          <w:rFonts w:ascii="Liberation Serif" w:hAnsi="Liberation Serif" w:eastAsia="Liberation Serif" w:cs="Liberation Serif"/>
        </w:rPr>
        <w:t xml:space="preserve">участие в </w:t>
      </w:r>
      <w:r>
        <w:rPr>
          <w:rFonts w:ascii="Liberation Serif" w:hAnsi="Liberation Serif" w:eastAsia="Liberation Serif" w:cs="Liberation Serif"/>
        </w:rPr>
        <w:t xml:space="preserve">закупке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было подано 7 (семь)</w:t>
      </w:r>
      <w:r>
        <w:rPr>
          <w:rFonts w:ascii="Liberation Serif" w:hAnsi="Liberation Serif" w:eastAsia="Liberation Serif" w:cs="Liberation Serif"/>
        </w:rPr>
        <w:t xml:space="preserve"> заявок</w:t>
      </w:r>
      <w:r>
        <w:rPr>
          <w:rFonts w:ascii="Liberation Serif" w:hAnsi="Liberation Serif" w:eastAsia="Liberation Serif" w:cs="Liberation Serif"/>
        </w:rPr>
        <w:t xml:space="preserve">: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5388"/>
        <w:gridCol w:w="397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89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726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726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п/п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388" w:type="dxa"/>
            <w:vAlign w:val="center"/>
            <w:textDirection w:val="lrTb"/>
            <w:noWrap w:val="false"/>
          </w:tcPr>
          <w:p>
            <w:pPr>
              <w:pStyle w:val="726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Порядковый номер Участника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3971" w:type="dxa"/>
            <w:vAlign w:val="center"/>
            <w:textDirection w:val="lrTb"/>
            <w:noWrap w:val="false"/>
          </w:tcPr>
          <w:p>
            <w:pPr>
              <w:pStyle w:val="726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726"/>
              <w:ind w:left="34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  <w:tc>
          <w:tcPr>
            <w:shd w:val="clear" w:color="auto" w:fill="bfbfbf"/>
            <w:tcW w:w="5388" w:type="dxa"/>
            <w:vAlign w:val="center"/>
            <w:textDirection w:val="lrTb"/>
            <w:noWrap w:val="false"/>
          </w:tcPr>
          <w:p>
            <w:pPr>
              <w:pStyle w:val="726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  <w:tc>
          <w:tcPr>
            <w:shd w:val="clear" w:color="auto" w:fill="bfbfbf"/>
            <w:tcW w:w="3971" w:type="dxa"/>
            <w:vAlign w:val="center"/>
            <w:textDirection w:val="lrTb"/>
            <w:noWrap w:val="false"/>
          </w:tcPr>
          <w:p>
            <w:pPr>
              <w:pStyle w:val="726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0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2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5388" w:type="dxa"/>
            <w:vAlign w:val="top"/>
            <w:textDirection w:val="lrTb"/>
            <w:noWrap w:val="false"/>
          </w:tcPr>
          <w:p>
            <w:pPr>
              <w:pStyle w:val="726"/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  <w:t xml:space="preserve">Отклонён на этапе рассмотрения первых частей заявок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</w:p>
        </w:tc>
        <w:tc>
          <w:tcPr>
            <w:tcBorders>
              <w:left w:val="single" w:color="000000" w:sz="4" w:space="0"/>
            </w:tcBorders>
            <w:tcW w:w="3971" w:type="dxa"/>
            <w:vAlign w:val="top"/>
            <w:textDirection w:val="lrTb"/>
            <w:noWrap w:val="false"/>
          </w:tcPr>
          <w:p>
            <w:pPr>
              <w:pStyle w:val="726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29.05.2025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11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:38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0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2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5388" w:type="dxa"/>
            <w:vAlign w:val="top"/>
            <w:textDirection w:val="lrTb"/>
            <w:noWrap w:val="false"/>
          </w:tcPr>
          <w:p>
            <w:pPr>
              <w:pStyle w:val="726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3971" w:type="dxa"/>
            <w:vAlign w:val="top"/>
            <w:textDirection w:val="lrTb"/>
            <w:noWrap w:val="false"/>
          </w:tcPr>
          <w:p>
            <w:pPr>
              <w:pStyle w:val="726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05.06.2025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10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:40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:48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10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2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5388" w:type="dxa"/>
            <w:vAlign w:val="top"/>
            <w:textDirection w:val="lrTb"/>
            <w:noWrap w:val="false"/>
          </w:tcPr>
          <w:p>
            <w:pPr>
              <w:pStyle w:val="726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3971" w:type="dxa"/>
            <w:vAlign w:val="top"/>
            <w:textDirection w:val="lrTb"/>
            <w:noWrap w:val="false"/>
          </w:tcPr>
          <w:p>
            <w:pPr>
              <w:pStyle w:val="726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06.06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11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:01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:12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  <w:tc>
          <w:tcPr>
            <w:tcW w:w="5388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  <w:t xml:space="preserve">Отклонён на этапе рассмотрения первых частей заявок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3971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09.06.2025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08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:23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:55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  <w:tc>
          <w:tcPr>
            <w:tcW w:w="5388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3971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09.06.2025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08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:55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:47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  <w:tc>
          <w:tcPr>
            <w:tcW w:w="5388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</w:p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  <w:t xml:space="preserve">Отклонён на этапе рассмотрения первых частей заявок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3971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09.06.2025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09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:11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:28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  <w:tc>
          <w:tcPr>
            <w:tcW w:w="5388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3971" w:type="dxa"/>
            <w:vAlign w:val="top"/>
            <w:vMerge w:val="restart"/>
            <w:textDirection w:val="lrTb"/>
            <w:noWrap w:val="false"/>
          </w:tcPr>
          <w:p>
            <w:pPr>
              <w:pStyle w:val="726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09.06.2025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09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:37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:57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</w:tr>
    </w:tbl>
    <w:p>
      <w:pPr>
        <w:pStyle w:val="726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</w:p>
    <w:p>
      <w:pPr>
        <w:pStyle w:val="726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 </w:t>
      </w:r>
      <w:r>
        <w:rPr>
          <w:rFonts w:ascii="Liberation Serif" w:hAnsi="Liberation Serif" w:eastAsia="Liberation Serif" w:cs="Liberation Serif"/>
        </w:rPr>
        <w:t xml:space="preserve">одобрении</w:t>
      </w:r>
      <w:r>
        <w:rPr>
          <w:rFonts w:ascii="Liberation Serif" w:hAnsi="Liberation Serif" w:eastAsia="Liberation Serif" w:cs="Liberation Serif"/>
        </w:rPr>
        <w:t xml:space="preserve"> </w:t>
      </w:r>
      <w:r>
        <w:rPr>
          <w:rFonts w:ascii="Liberation Serif" w:hAnsi="Liberation Serif" w:eastAsia="Liberation Serif" w:cs="Liberation Serif"/>
        </w:rPr>
        <w:t xml:space="preserve">Сводного отчета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вторых частей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</w:p>
    <w:p>
      <w:pPr>
        <w:pStyle w:val="726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Члены </w:t>
      </w: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</w:t>
      </w:r>
      <w:r>
        <w:rPr>
          <w:rFonts w:ascii="Liberation Serif" w:hAnsi="Liberation Serif" w:eastAsia="Liberation Serif" w:cs="Liberation Serif"/>
        </w:rPr>
        <w:t xml:space="preserve"> комиссии изучили поступивш</w:t>
      </w:r>
      <w:r>
        <w:rPr>
          <w:rFonts w:ascii="Liberation Serif" w:hAnsi="Liberation Serif" w:eastAsia="Liberation Serif" w:cs="Liberation Serif"/>
        </w:rPr>
        <w:t xml:space="preserve">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заявк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</w:rPr>
        <w:t xml:space="preserve">. Результаты оценки сведены в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вторых частей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</w:p>
    <w:p>
      <w:pPr>
        <w:pStyle w:val="726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 комиссии предлагается </w:t>
      </w:r>
      <w:r>
        <w:rPr>
          <w:rFonts w:ascii="Liberation Serif" w:hAnsi="Liberation Serif" w:eastAsia="Liberation Serif" w:cs="Liberation Serif"/>
        </w:rPr>
        <w:t xml:space="preserve">одобрить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(приложение №1)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</w:p>
    <w:p>
      <w:pPr>
        <w:pStyle w:val="726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Вопрос </w:t>
      </w:r>
      <w:r>
        <w:rPr>
          <w:rFonts w:ascii="Liberation Serif" w:hAnsi="Liberation Serif" w:eastAsia="Liberation Serif" w:cs="Liberation Serif"/>
          <w:b/>
        </w:rPr>
        <w:t xml:space="preserve">2</w:t>
      </w:r>
      <w:r>
        <w:rPr>
          <w:rFonts w:ascii="Liberation Serif" w:hAnsi="Liberation Serif" w:eastAsia="Liberation Serif" w:cs="Liberation Serif"/>
          <w:b/>
        </w:rPr>
        <w:t xml:space="preserve"> повестки:</w:t>
      </w:r>
      <w:r>
        <w:rPr>
          <w:rFonts w:ascii="Liberation Serif" w:hAnsi="Liberation Serif" w:eastAsia="Liberation Serif" w:cs="Liberation Serif"/>
        </w:rPr>
      </w:r>
    </w:p>
    <w:p>
      <w:pPr>
        <w:pStyle w:val="726"/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Предлагается признать</w:t>
      </w:r>
      <w:r>
        <w:rPr>
          <w:rFonts w:ascii="Liberation Serif" w:hAnsi="Liberation Serif" w:eastAsia="Liberation Serif" w:cs="Liberation Serif"/>
        </w:rPr>
        <w:t xml:space="preserve"> заявки участников удовлетворяющими требованиям закупки в соответствии со Сводным отчетом Экспертной группы (приложение №1).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26"/>
        <w:contextualSpacing w:val="0"/>
        <w:ind w:firstLine="709"/>
        <w:jc w:val="left"/>
        <w:spacing w:before="170" w:after="120" w:line="240" w:lineRule="auto"/>
        <w:widowControl w:val="off"/>
        <w:rPr>
          <w:rFonts w:ascii="Liberation Serif" w:hAnsi="Liberation Serif" w:cs="Liberation Serif"/>
          <w:b/>
          <w:bCs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726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Одобрить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eastAsia="Liberation Serif" w:cs="Liberation Serif"/>
        </w:rPr>
        <w:t xml:space="preserve"> вторых частей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</w:p>
    <w:p>
      <w:pPr>
        <w:pStyle w:val="726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Признать </w:t>
      </w:r>
      <w:r>
        <w:rPr>
          <w:rFonts w:ascii="Liberation Serif" w:hAnsi="Liberation Serif" w:eastAsia="Liberation Serif" w:cs="Liberation Serif"/>
        </w:rPr>
        <w:t xml:space="preserve">заявк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удовлетворяющ</w:t>
      </w:r>
      <w:r>
        <w:rPr>
          <w:rFonts w:ascii="Liberation Serif" w:hAnsi="Liberation Serif" w:eastAsia="Liberation Serif" w:cs="Liberation Serif"/>
        </w:rPr>
        <w:t xml:space="preserve">ими</w:t>
      </w:r>
      <w:r>
        <w:rPr>
          <w:rFonts w:ascii="Liberation Serif" w:hAnsi="Liberation Serif" w:eastAsia="Liberation Serif" w:cs="Liberation Serif"/>
        </w:rPr>
        <w:t xml:space="preserve"> требованиям закупки в соответствии со Сводным отчетом Экспертной группы (приложение №1).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  <w:jc w:val="center"/>
    </w:pPr>
    <w:r>
      <w:fldChar w:fldCharType="begin"/>
    </w:r>
    <w:r>
      <w:instrText xml:space="preserve"> INCLUDEPICTURE  "cid:image004.jpg@01D60428.DE8242D0" \* MERGEFORMATINET </w:instrText>
    </w:r>
    <w:r>
      <w:fldChar w:fldCharType="separate"/>
      <w:fldChar w:fldCharType="begin"/>
    </w:r>
    <w:r>
      <w:instrText xml:space="preserve"> INCLUDEPICTURE  "cid:image004.jpg@01D60428.DE8242D0" \* MERGEFORMATINET </w:instrText>
    </w:r>
    <w:r>
      <w:fldChar w:fldCharType="separate"/>
      <w:fldChar w:fldCharType="begin"/>
    </w:r>
    <w:r>
      <w:instrText xml:space="preserve"> INCLUDEPICTURE  "cid:image004.jpg@01D60428.DE8242D0" \* MERGEFORMATINET </w:instrText>
    </w:r>
    <w:r>
      <w:fldChar w:fldCharType="separate"/>
      <w:fldChar w:fldCharType="begin"/>
    </w:r>
    <w:r>
      <w:instrText xml:space="preserve"> INCLUDEPICTURE  "cid:image004.jpg@01D60428.DE8242D0" \* MERGEFORMATINET </w:instrText>
    </w:r>
    <w:r>
      <w:fldChar w:fldCharType="separate"/>
    </w:r>
    <w:r/>
    <w:r>
      <w:fldChar w:fldCharType="end"/>
      <w:fldChar w:fldCharType="end"/>
      <w:fldChar w:fldCharType="end"/>
      <w:fldChar w:fldCharType="end"/>
    </w:r>
    <w:r>
      <w:rPr>
        <w:rFonts w:ascii="Liberation Serif" w:hAnsi="Liberation Serif" w:cs="Liberation Serif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838145" cy="437982"/>
              <wp:effectExtent l="0" t="0" r="0" b="0"/>
              <wp:docPr id="1" name="_x0000_i10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9437794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rot="0" flipH="0" flipV="0">
                        <a:off x="0" y="0"/>
                        <a:ext cx="2838144" cy="4379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223.48pt;height:34.49pt;mso-wrap-distance-left:0.00pt;mso-wrap-distance-top:0.00pt;mso-wrap-distance-right:0.00pt;mso-wrap-distance-bottom:0.00pt;rotation:0;" stroked="f">
              <v:path textboxrect="0,0,0,0"/>
              <v:imagedata r:id="rId1" o:title=""/>
            </v:shape>
          </w:pict>
        </mc:Fallback>
      </mc:AlternateContent>
    </w:r>
    <w:r/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746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6"/>
    <w:next w:val="72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6"/>
    <w:next w:val="7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6"/>
    <w:next w:val="7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6"/>
    <w:next w:val="7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6"/>
    <w:next w:val="7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6"/>
    <w:next w:val="7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6"/>
    <w:next w:val="7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6"/>
    <w:next w:val="7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6"/>
    <w:next w:val="7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6"/>
    <w:next w:val="7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26"/>
    <w:next w:val="7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26"/>
    <w:next w:val="7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6"/>
    <w:next w:val="7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2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26"/>
    <w:next w:val="72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26"/>
    <w:next w:val="7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6"/>
    <w:next w:val="7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6"/>
    <w:next w:val="7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6"/>
    <w:next w:val="7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6"/>
    <w:next w:val="7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6"/>
    <w:next w:val="7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6"/>
    <w:next w:val="7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6"/>
    <w:next w:val="7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6"/>
    <w:next w:val="7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6"/>
    <w:next w:val="726"/>
    <w:uiPriority w:val="99"/>
    <w:unhideWhenUsed/>
    <w:pPr>
      <w:spacing w:after="0" w:afterAutospacing="0"/>
    </w:pPr>
  </w:style>
  <w:style w:type="paragraph" w:styleId="726" w:default="1">
    <w:name w:val="Normal"/>
    <w:next w:val="726"/>
    <w:link w:val="726"/>
    <w:qFormat/>
    <w:rPr>
      <w:sz w:val="24"/>
      <w:szCs w:val="24"/>
      <w:lang w:val="ru-RU" w:eastAsia="ru-RU" w:bidi="ar-SA"/>
    </w:rPr>
  </w:style>
  <w:style w:type="paragraph" w:styleId="727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726"/>
    <w:next w:val="726"/>
    <w:link w:val="726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728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726"/>
    <w:next w:val="726"/>
    <w:link w:val="750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729">
    <w:name w:val="Основной шрифт абзаца"/>
    <w:next w:val="729"/>
    <w:link w:val="726"/>
    <w:semiHidden/>
  </w:style>
  <w:style w:type="table" w:styleId="730">
    <w:name w:val="Обычная таблица"/>
    <w:next w:val="730"/>
    <w:link w:val="726"/>
    <w:semiHidden/>
    <w:tblPr/>
  </w:style>
  <w:style w:type="numbering" w:styleId="731">
    <w:name w:val="Нет списка"/>
    <w:next w:val="731"/>
    <w:link w:val="726"/>
    <w:semiHidden/>
  </w:style>
  <w:style w:type="paragraph" w:styleId="732">
    <w:name w:val="Default Paragraph Font Para Char Char Знак"/>
    <w:basedOn w:val="726"/>
    <w:next w:val="732"/>
    <w:link w:val="72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733">
    <w:name w:val="Верхний колонтитул"/>
    <w:basedOn w:val="726"/>
    <w:next w:val="733"/>
    <w:link w:val="762"/>
    <w:uiPriority w:val="99"/>
    <w:pPr>
      <w:tabs>
        <w:tab w:val="center" w:pos="4677" w:leader="none"/>
        <w:tab w:val="right" w:pos="9355" w:leader="none"/>
      </w:tabs>
    </w:pPr>
  </w:style>
  <w:style w:type="character" w:styleId="734">
    <w:name w:val="Номер страницы"/>
    <w:basedOn w:val="729"/>
    <w:next w:val="734"/>
    <w:link w:val="726"/>
  </w:style>
  <w:style w:type="paragraph" w:styleId="735">
    <w:name w:val="Таблица шапка"/>
    <w:basedOn w:val="726"/>
    <w:next w:val="735"/>
    <w:link w:val="726"/>
    <w:pPr>
      <w:ind w:left="57" w:right="57"/>
      <w:keepNext/>
      <w:spacing w:before="40" w:after="40"/>
    </w:pPr>
    <w:rPr>
      <w:sz w:val="22"/>
      <w:szCs w:val="20"/>
    </w:rPr>
  </w:style>
  <w:style w:type="paragraph" w:styleId="736">
    <w:name w:val="Таблица текст"/>
    <w:basedOn w:val="726"/>
    <w:next w:val="736"/>
    <w:link w:val="726"/>
    <w:pPr>
      <w:ind w:left="57" w:right="57"/>
      <w:spacing w:before="40" w:after="40"/>
    </w:pPr>
    <w:rPr>
      <w:szCs w:val="20"/>
    </w:rPr>
  </w:style>
  <w:style w:type="character" w:styleId="737">
    <w:name w:val="комментарий"/>
    <w:next w:val="737"/>
    <w:link w:val="726"/>
    <w:rPr>
      <w:b/>
      <w:i/>
      <w:shd w:val="clear" w:color="auto" w:fill="ffff99"/>
    </w:rPr>
  </w:style>
  <w:style w:type="paragraph" w:styleId="738">
    <w:name w:val="Схема документа"/>
    <w:basedOn w:val="726"/>
    <w:next w:val="738"/>
    <w:link w:val="72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739">
    <w:name w:val="Текст выноски"/>
    <w:basedOn w:val="726"/>
    <w:next w:val="739"/>
    <w:link w:val="726"/>
    <w:semiHidden/>
    <w:rPr>
      <w:rFonts w:ascii="Tahoma" w:hAnsi="Tahoma" w:cs="Tahoma"/>
      <w:sz w:val="16"/>
      <w:szCs w:val="16"/>
    </w:rPr>
  </w:style>
  <w:style w:type="table" w:styleId="740">
    <w:name w:val="Сетка таблицы"/>
    <w:basedOn w:val="730"/>
    <w:next w:val="740"/>
    <w:link w:val="726"/>
    <w:pPr>
      <w:ind w:firstLine="567"/>
      <w:jc w:val="both"/>
      <w:spacing w:line="360" w:lineRule="auto"/>
    </w:pPr>
    <w:tblPr/>
  </w:style>
  <w:style w:type="paragraph" w:styleId="741">
    <w:name w:val="Нижний колонтитул"/>
    <w:basedOn w:val="726"/>
    <w:next w:val="741"/>
    <w:link w:val="74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42">
    <w:name w:val="Комментраий Знак"/>
    <w:next w:val="742"/>
    <w:link w:val="726"/>
    <w:rPr>
      <w:i/>
      <w:color w:val="3366ff"/>
      <w:sz w:val="28"/>
      <w:szCs w:val="28"/>
      <w:lang w:val="ru-RU" w:eastAsia="ru-RU" w:bidi="ar-SA"/>
    </w:rPr>
  </w:style>
  <w:style w:type="table" w:styleId="743">
    <w:name w:val="Сетка таблицы1"/>
    <w:basedOn w:val="730"/>
    <w:next w:val="740"/>
    <w:link w:val="726"/>
    <w:tblPr/>
  </w:style>
  <w:style w:type="character" w:styleId="744">
    <w:name w:val="Нижний колонтитул Знак"/>
    <w:next w:val="744"/>
    <w:link w:val="741"/>
    <w:uiPriority w:val="99"/>
    <w:rPr>
      <w:sz w:val="24"/>
      <w:szCs w:val="24"/>
    </w:rPr>
  </w:style>
  <w:style w:type="paragraph" w:styleId="745">
    <w:name w:val="Обычный (веб)"/>
    <w:basedOn w:val="726"/>
    <w:next w:val="745"/>
    <w:link w:val="726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746">
    <w:name w:val="Подподпункт"/>
    <w:basedOn w:val="726"/>
    <w:next w:val="746"/>
    <w:link w:val="747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747">
    <w:name w:val="Подподпункт Знак"/>
    <w:next w:val="747"/>
    <w:link w:val="746"/>
    <w:rPr>
      <w:sz w:val="28"/>
    </w:rPr>
  </w:style>
  <w:style w:type="paragraph" w:styleId="748">
    <w:name w:val="Абзац списка"/>
    <w:basedOn w:val="726"/>
    <w:next w:val="748"/>
    <w:link w:val="726"/>
    <w:uiPriority w:val="34"/>
    <w:qFormat/>
    <w:pPr>
      <w:contextualSpacing/>
      <w:ind w:left="720"/>
      <w:widowControl w:val="off"/>
    </w:pPr>
  </w:style>
  <w:style w:type="character" w:styleId="749">
    <w:name w:val="Font Style128"/>
    <w:next w:val="749"/>
    <w:link w:val="726"/>
    <w:rPr>
      <w:rFonts w:ascii="Times New Roman" w:hAnsi="Times New Roman" w:cs="Times New Roman"/>
      <w:color w:val="000000"/>
      <w:sz w:val="26"/>
      <w:szCs w:val="26"/>
    </w:rPr>
  </w:style>
  <w:style w:type="character" w:styleId="750">
    <w:name w:val="Заголовок 2 Знак"/>
    <w:next w:val="750"/>
    <w:link w:val="728"/>
    <w:uiPriority w:val="99"/>
    <w:rPr>
      <w:b/>
      <w:sz w:val="32"/>
    </w:rPr>
  </w:style>
  <w:style w:type="paragraph" w:styleId="751">
    <w:name w:val="Пункт"/>
    <w:basedOn w:val="726"/>
    <w:next w:val="751"/>
    <w:link w:val="726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752">
    <w:name w:val="Основной текст с отступом"/>
    <w:basedOn w:val="726"/>
    <w:next w:val="752"/>
    <w:link w:val="753"/>
    <w:pPr>
      <w:ind w:left="-720"/>
      <w:jc w:val="both"/>
    </w:pPr>
    <w:rPr>
      <w:lang w:val="en-US" w:eastAsia="en-US"/>
    </w:rPr>
  </w:style>
  <w:style w:type="character" w:styleId="753">
    <w:name w:val="Основной текст с отступом Знак"/>
    <w:next w:val="753"/>
    <w:link w:val="752"/>
    <w:rPr>
      <w:sz w:val="24"/>
      <w:szCs w:val="24"/>
    </w:rPr>
  </w:style>
  <w:style w:type="paragraph" w:styleId="754">
    <w:name w:val="Нумерованный список"/>
    <w:basedOn w:val="755"/>
    <w:next w:val="754"/>
    <w:link w:val="726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755">
    <w:name w:val="Основной текст"/>
    <w:basedOn w:val="726"/>
    <w:next w:val="755"/>
    <w:link w:val="756"/>
    <w:pPr>
      <w:spacing w:after="120"/>
    </w:pPr>
    <w:rPr>
      <w:lang w:val="en-US" w:eastAsia="en-US"/>
    </w:rPr>
  </w:style>
  <w:style w:type="character" w:styleId="756">
    <w:name w:val="Основной текст Знак"/>
    <w:next w:val="756"/>
    <w:link w:val="755"/>
    <w:rPr>
      <w:sz w:val="24"/>
      <w:szCs w:val="24"/>
    </w:rPr>
  </w:style>
  <w:style w:type="character" w:styleId="757">
    <w:name w:val="Знак примечания"/>
    <w:next w:val="757"/>
    <w:link w:val="726"/>
    <w:rPr>
      <w:sz w:val="16"/>
      <w:szCs w:val="16"/>
    </w:rPr>
  </w:style>
  <w:style w:type="paragraph" w:styleId="758">
    <w:name w:val="Текст примечания"/>
    <w:basedOn w:val="726"/>
    <w:next w:val="758"/>
    <w:link w:val="759"/>
    <w:rPr>
      <w:sz w:val="20"/>
      <w:szCs w:val="20"/>
    </w:rPr>
  </w:style>
  <w:style w:type="character" w:styleId="759">
    <w:name w:val="Текст примечания Знак"/>
    <w:basedOn w:val="729"/>
    <w:next w:val="759"/>
    <w:link w:val="758"/>
  </w:style>
  <w:style w:type="paragraph" w:styleId="760">
    <w:name w:val="Тема примечания"/>
    <w:basedOn w:val="758"/>
    <w:next w:val="758"/>
    <w:link w:val="761"/>
    <w:rPr>
      <w:b/>
      <w:bCs/>
      <w:lang w:val="en-US" w:eastAsia="en-US"/>
    </w:rPr>
  </w:style>
  <w:style w:type="character" w:styleId="761">
    <w:name w:val="Тема примечания Знак"/>
    <w:next w:val="761"/>
    <w:link w:val="760"/>
    <w:rPr>
      <w:b/>
      <w:bCs/>
    </w:rPr>
  </w:style>
  <w:style w:type="character" w:styleId="762">
    <w:name w:val="Верхний колонтитул Знак"/>
    <w:next w:val="762"/>
    <w:link w:val="733"/>
    <w:uiPriority w:val="99"/>
    <w:rPr>
      <w:sz w:val="24"/>
      <w:szCs w:val="24"/>
    </w:rPr>
  </w:style>
  <w:style w:type="character" w:styleId="2253" w:default="1">
    <w:name w:val="Default Paragraph Font"/>
    <w:uiPriority w:val="1"/>
    <w:semiHidden/>
    <w:unhideWhenUsed/>
  </w:style>
  <w:style w:type="numbering" w:styleId="2254" w:default="1">
    <w:name w:val="No List"/>
    <w:uiPriority w:val="99"/>
    <w:semiHidden/>
    <w:unhideWhenUsed/>
  </w:style>
  <w:style w:type="table" w:styleId="22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2</cp:revision>
  <dcterms:created xsi:type="dcterms:W3CDTF">2022-09-27T09:37:00Z</dcterms:created>
  <dcterms:modified xsi:type="dcterms:W3CDTF">2025-06-25T07:35:45Z</dcterms:modified>
  <cp:version>1048576</cp:version>
</cp:coreProperties>
</file>